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1" w:rsidRDefault="00BE4851" w:rsidP="00052B2A">
      <w:pPr>
        <w:rPr>
          <w:lang w:val="ru-RU"/>
        </w:rPr>
      </w:pPr>
    </w:p>
    <w:p w:rsidR="00927F8E" w:rsidRPr="00927F8E" w:rsidRDefault="00927F8E" w:rsidP="00052B2A">
      <w:pPr>
        <w:rPr>
          <w:lang w:val="ru-RU"/>
        </w:rPr>
      </w:pPr>
    </w:p>
    <w:p w:rsidR="00927F8E" w:rsidRPr="00927F8E" w:rsidRDefault="00927F8E" w:rsidP="00927F8E">
      <w:pPr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  <w:t xml:space="preserve">Перечень документов и данных, </w:t>
      </w:r>
    </w:p>
    <w:p w:rsidR="00927F8E" w:rsidRPr="00927F8E" w:rsidRDefault="00927F8E" w:rsidP="00927F8E">
      <w:pPr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  <w:t>необходимых для представления в Министерство Здравоохранения РФ</w:t>
      </w:r>
    </w:p>
    <w:p w:rsidR="00927F8E" w:rsidRPr="00927F8E" w:rsidRDefault="00927F8E" w:rsidP="00927F8E">
      <w:pPr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  <w:t xml:space="preserve"> в целях регистрации готовых зарубежных </w:t>
      </w:r>
      <w:r w:rsidRPr="00927F8E">
        <w:rPr>
          <w:rFonts w:ascii="Calibri" w:eastAsia="Times New Roman" w:hAnsi="Calibri"/>
          <w:b/>
          <w:color w:val="17365D" w:themeColor="text2" w:themeShade="BF"/>
          <w:sz w:val="18"/>
          <w:szCs w:val="18"/>
          <w:u w:val="single"/>
          <w:lang w:val="ru-RU" w:eastAsia="ru-RU"/>
        </w:rPr>
        <w:t>лекарственных препаратов.</w:t>
      </w:r>
    </w:p>
    <w:p w:rsidR="00927F8E" w:rsidRPr="00927F8E" w:rsidRDefault="00927F8E" w:rsidP="00927F8E">
      <w:pPr>
        <w:jc w:val="center"/>
        <w:rPr>
          <w:rFonts w:ascii="Calibri" w:eastAsia="Times New Roman" w:hAnsi="Calibri"/>
          <w:b/>
          <w:sz w:val="18"/>
          <w:szCs w:val="18"/>
          <w:lang w:val="ru-RU" w:eastAsia="ru-RU"/>
        </w:rPr>
      </w:pPr>
    </w:p>
    <w:p w:rsidR="00927F8E" w:rsidRPr="00927F8E" w:rsidRDefault="00927F8E" w:rsidP="00927F8E">
      <w:pPr>
        <w:outlineLvl w:val="2"/>
        <w:rPr>
          <w:rFonts w:ascii="Calibri" w:eastAsia="Times New Roman" w:hAnsi="Calibri" w:cs="Tahoma"/>
          <w:b/>
          <w:bCs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I. Административные документы фирмы-производителя лекарственного средства:</w:t>
      </w:r>
    </w:p>
    <w:p w:rsidR="00927F8E" w:rsidRPr="00927F8E" w:rsidRDefault="00927F8E" w:rsidP="00927F8E">
      <w:pPr>
        <w:rPr>
          <w:rFonts w:ascii="Calibri" w:eastAsia="Times New Roman" w:hAnsi="Calibri" w:cs="Tahoma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1. Доверенность от производителя на заявителя (требуется легализация).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2. Документы, подтверждающие регистрацию лекарственного средства, если оно зарегистрировано за пределами Российской Федерации.</w:t>
      </w:r>
    </w:p>
    <w:p w:rsidR="00927F8E" w:rsidRPr="00927F8E" w:rsidRDefault="00927F8E" w:rsidP="00927F8E">
      <w:pPr>
        <w:outlineLvl w:val="2"/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Cs/>
          <w:sz w:val="18"/>
          <w:szCs w:val="18"/>
          <w:lang w:val="ru-RU" w:eastAsia="ru-RU"/>
        </w:rPr>
        <w:t xml:space="preserve">3. Документы, подтверждающие регистрацию производителя в качестве юридического лица 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(требуется легализация).</w:t>
      </w:r>
    </w:p>
    <w:p w:rsidR="00927F8E" w:rsidRPr="00927F8E" w:rsidRDefault="00927F8E" w:rsidP="00927F8E">
      <w:pPr>
        <w:outlineLvl w:val="2"/>
        <w:rPr>
          <w:rFonts w:ascii="Calibri" w:eastAsia="Times New Roman" w:hAnsi="Calibri" w:cs="Arial"/>
          <w:sz w:val="18"/>
          <w:szCs w:val="18"/>
          <w:lang w:val="ru-RU" w:eastAsia="ru-RU"/>
        </w:rPr>
      </w:pPr>
    </w:p>
    <w:p w:rsidR="00927F8E" w:rsidRPr="00927F8E" w:rsidRDefault="00927F8E" w:rsidP="00927F8E">
      <w:pPr>
        <w:outlineLvl w:val="2"/>
        <w:rPr>
          <w:rFonts w:ascii="Calibri" w:eastAsia="Times New Roman" w:hAnsi="Calibri" w:cs="Tahoma"/>
          <w:b/>
          <w:bCs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II. Документы на производство активной субстанци</w:t>
      </w:r>
      <w:proofErr w:type="gramStart"/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и(</w:t>
      </w:r>
      <w:proofErr w:type="gramEnd"/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-</w:t>
      </w:r>
      <w:proofErr w:type="spellStart"/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ий</w:t>
      </w:r>
      <w:proofErr w:type="spellEnd"/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), используемой(-ых) в производстве лекарственного средства***:</w:t>
      </w:r>
    </w:p>
    <w:p w:rsidR="00927F8E" w:rsidRPr="00927F8E" w:rsidRDefault="00927F8E" w:rsidP="00927F8E">
      <w:pPr>
        <w:outlineLvl w:val="2"/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4. Подтверждение соответствия условий производства стандартам </w:t>
      </w:r>
      <w:r w:rsidRPr="00927F8E">
        <w:rPr>
          <w:rFonts w:ascii="Calibri" w:eastAsia="Times New Roman" w:hAnsi="Calibri" w:cs="Arial"/>
          <w:sz w:val="18"/>
          <w:szCs w:val="18"/>
          <w:lang w:eastAsia="ru-RU"/>
        </w:rPr>
        <w:t>GMP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(требуется легализация)*.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5. Краткая схема производственного процесса и методов контроля процесса.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6. Описание контроля этапов производства и промежуточных продуктов.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7. Описание методов контроля качества готовой субстанции, спецификация.</w:t>
      </w:r>
    </w:p>
    <w:p w:rsidR="00927F8E" w:rsidRPr="00927F8E" w:rsidRDefault="00927F8E" w:rsidP="00927F8E">
      <w:pPr>
        <w:outlineLvl w:val="2"/>
        <w:rPr>
          <w:rFonts w:ascii="Calibri" w:eastAsia="Times New Roman" w:hAnsi="Calibri" w:cs="Arial"/>
          <w:bCs/>
          <w:sz w:val="18"/>
          <w:szCs w:val="18"/>
          <w:lang w:val="ru-RU" w:eastAsia="ru-RU"/>
        </w:rPr>
      </w:pPr>
    </w:p>
    <w:p w:rsidR="00927F8E" w:rsidRPr="00927F8E" w:rsidRDefault="00927F8E" w:rsidP="00927F8E">
      <w:pPr>
        <w:outlineLvl w:val="2"/>
        <w:rPr>
          <w:rFonts w:ascii="Calibri" w:eastAsia="Times New Roman" w:hAnsi="Calibri" w:cs="Tahoma"/>
          <w:b/>
          <w:bCs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III. Документы на производство лекарственного средства:</w:t>
      </w:r>
    </w:p>
    <w:p w:rsidR="00927F8E" w:rsidRPr="00927F8E" w:rsidRDefault="00927F8E" w:rsidP="00927F8E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8. Подтверждение соответствия условий производства стандартам </w:t>
      </w:r>
      <w:r w:rsidRPr="00927F8E">
        <w:rPr>
          <w:rFonts w:ascii="Calibri" w:eastAsia="Times New Roman" w:hAnsi="Calibri" w:cs="Arial"/>
          <w:sz w:val="18"/>
          <w:szCs w:val="18"/>
          <w:lang w:eastAsia="ru-RU"/>
        </w:rPr>
        <w:t>GMP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(требуется легализация)*.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9. Краткая схема производственного процесса и методов контроля процесса.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10. Материальный баланс.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11. Описание контроля этапов производства и промежуточных продуктов.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 xml:space="preserve">12. </w:t>
      </w:r>
      <w:proofErr w:type="spellStart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Валидация</w:t>
      </w:r>
      <w:proofErr w:type="spellEnd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и/или квалификация процесса.</w:t>
      </w:r>
    </w:p>
    <w:p w:rsidR="00927F8E" w:rsidRPr="00927F8E" w:rsidRDefault="00927F8E" w:rsidP="00927F8E">
      <w:pPr>
        <w:rPr>
          <w:rFonts w:ascii="Calibri" w:eastAsia="Times New Roman" w:hAnsi="Calibri" w:cs="Tahoma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13.  Информация об условии хранения и перевозки лекарственного средства.</w:t>
      </w:r>
    </w:p>
    <w:p w:rsidR="00927F8E" w:rsidRPr="00927F8E" w:rsidRDefault="00927F8E" w:rsidP="00927F8E">
      <w:pPr>
        <w:outlineLvl w:val="2"/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</w:pPr>
    </w:p>
    <w:p w:rsidR="00927F8E" w:rsidRPr="00927F8E" w:rsidRDefault="00927F8E" w:rsidP="00927F8E">
      <w:pPr>
        <w:outlineLvl w:val="2"/>
        <w:rPr>
          <w:rFonts w:ascii="Calibri" w:eastAsia="Times New Roman" w:hAnsi="Calibri" w:cs="Tahoma"/>
          <w:b/>
          <w:bCs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IV. Документы по контролю качества лекарственного средства:</w:t>
      </w:r>
    </w:p>
    <w:p w:rsidR="00927F8E" w:rsidRPr="00927F8E" w:rsidRDefault="00927F8E" w:rsidP="00927F8E">
      <w:pPr>
        <w:rPr>
          <w:rFonts w:ascii="Calibri" w:eastAsia="Times New Roman" w:hAnsi="Calibri" w:cs="Tahoma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14. Сертификат фармацевтического продукта (требуется легализация)**.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15. Сертификат анализа на готовое лекарственное средство (3 серии).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16. Сертификат на активную субстанцию от производителя.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17. Сертификаты на вспомогательные вещества от производителя.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18. Описание методов контроля качества готового лекарственного средства.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19. Стандарты или материалы сравнения (для стандартов – ссылка на производителя, для материалов сравнения – копия сертификата производителя с приложением заверенного перевода).</w:t>
      </w:r>
    </w:p>
    <w:p w:rsidR="00927F8E" w:rsidRPr="00927F8E" w:rsidRDefault="00927F8E" w:rsidP="00927F8E">
      <w:pPr>
        <w:rPr>
          <w:rFonts w:ascii="Calibri" w:eastAsia="Times New Roman" w:hAnsi="Calibri" w:cs="Tahoma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20. </w:t>
      </w:r>
      <w:proofErr w:type="spellStart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Валидация</w:t>
      </w:r>
      <w:proofErr w:type="spellEnd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аналитических процедур.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 xml:space="preserve">21. Характеристика примесей. 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22. Документы, подтверждающие разрешения использования упаковочного материала, используемого для первичной и вторичной упаковки лекарственного средства, в стране производства.</w:t>
      </w:r>
    </w:p>
    <w:p w:rsidR="00927F8E" w:rsidRPr="00927F8E" w:rsidRDefault="00927F8E" w:rsidP="00927F8E">
      <w:pPr>
        <w:outlineLvl w:val="2"/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</w:pPr>
    </w:p>
    <w:p w:rsidR="00927F8E" w:rsidRPr="00927F8E" w:rsidRDefault="00927F8E" w:rsidP="00927F8E">
      <w:pPr>
        <w:outlineLvl w:val="2"/>
        <w:rPr>
          <w:rFonts w:ascii="Calibri" w:eastAsia="Times New Roman" w:hAnsi="Calibri" w:cs="Tahoma"/>
          <w:b/>
          <w:bCs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V. Отчеты о проведенных исследованиях лекарственного средства:</w:t>
      </w:r>
    </w:p>
    <w:p w:rsidR="00927F8E" w:rsidRPr="00927F8E" w:rsidRDefault="00927F8E" w:rsidP="00927F8E">
      <w:pPr>
        <w:rPr>
          <w:rFonts w:ascii="Calibri" w:eastAsia="Times New Roman" w:hAnsi="Calibri" w:cs="Tahoma"/>
          <w:b/>
          <w:bCs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23. Результаты исследования стабильности в заявленных видах первичной упаковки.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 xml:space="preserve">24. </w:t>
      </w:r>
      <w:proofErr w:type="gramStart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Результаты проведенных доклинических исследований: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- фармакология – результаты исследований, подтверждающих фармакологическую активность препарата;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 xml:space="preserve">- </w:t>
      </w:r>
      <w:proofErr w:type="spellStart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фармакокинетика</w:t>
      </w:r>
      <w:proofErr w:type="spellEnd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– абсорбция, распределение, метаболизм, экскреция, взаимодействие с другими лекарственными средствами;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- токсикология – общая токсичность, специфическая токсичность;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25.</w:t>
      </w:r>
      <w:proofErr w:type="gramEnd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Результаты проведенных клинических исследований***: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</w:r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V. Листок-вкладыш или Краткая характеристика препарата (инструкция по применению)</w:t>
      </w:r>
    </w:p>
    <w:p w:rsidR="00927F8E" w:rsidRPr="00927F8E" w:rsidRDefault="00927F8E" w:rsidP="00927F8E">
      <w:pPr>
        <w:rPr>
          <w:rFonts w:ascii="Calibri" w:eastAsia="Times New Roman" w:hAnsi="Calibri" w:cs="Arial"/>
          <w:b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/>
          <w:sz w:val="18"/>
          <w:szCs w:val="18"/>
          <w:lang w:eastAsia="ru-RU"/>
        </w:rPr>
        <w:t>VI</w:t>
      </w:r>
      <w:r w:rsidRPr="00927F8E">
        <w:rPr>
          <w:rFonts w:ascii="Calibri" w:eastAsia="Times New Roman" w:hAnsi="Calibri" w:cs="Arial"/>
          <w:b/>
          <w:sz w:val="18"/>
          <w:szCs w:val="18"/>
          <w:lang w:val="ru-RU" w:eastAsia="ru-RU"/>
        </w:rPr>
        <w:t>. Макеты потребительских упаковок (первичной и вторичной).</w:t>
      </w:r>
    </w:p>
    <w:p w:rsidR="00927F8E" w:rsidRPr="00927F8E" w:rsidRDefault="00927F8E" w:rsidP="00927F8E">
      <w:pPr>
        <w:rPr>
          <w:rFonts w:ascii="Calibri" w:eastAsia="Times New Roman" w:hAnsi="Calibri" w:cs="Arial"/>
          <w:color w:val="808080"/>
          <w:sz w:val="18"/>
          <w:szCs w:val="18"/>
          <w:lang w:val="ru-RU" w:eastAsia="ru-RU"/>
        </w:rPr>
      </w:pPr>
    </w:p>
    <w:p w:rsidR="00927F8E" w:rsidRPr="00927F8E" w:rsidRDefault="00927F8E" w:rsidP="00927F8E">
      <w:pPr>
        <w:rPr>
          <w:rFonts w:ascii="Calibri" w:eastAsia="Times New Roman" w:hAnsi="Calibri" w:cs="Arial"/>
          <w:b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/>
          <w:sz w:val="18"/>
          <w:szCs w:val="18"/>
          <w:lang w:val="ru-RU" w:eastAsia="ru-RU"/>
        </w:rPr>
        <w:t>Примечание:</w:t>
      </w:r>
    </w:p>
    <w:p w:rsidR="00927F8E" w:rsidRPr="00927F8E" w:rsidRDefault="00927F8E" w:rsidP="00927F8E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* В случае</w:t>
      </w:r>
      <w:proofErr w:type="gramStart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,</w:t>
      </w:r>
      <w:proofErr w:type="gramEnd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если в Сертификате фармацевтического продукта указано соответствие условий производства требованиям </w:t>
      </w:r>
      <w:r w:rsidRPr="00927F8E">
        <w:rPr>
          <w:rFonts w:ascii="Calibri" w:eastAsia="Times New Roman" w:hAnsi="Calibri" w:cs="Arial"/>
          <w:sz w:val="18"/>
          <w:szCs w:val="18"/>
          <w:lang w:eastAsia="ru-RU"/>
        </w:rPr>
        <w:t>GMP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, то дополнительное предоставление </w:t>
      </w:r>
      <w:r w:rsidRPr="00927F8E">
        <w:rPr>
          <w:rFonts w:ascii="Calibri" w:eastAsia="Times New Roman" w:hAnsi="Calibri" w:cs="Arial"/>
          <w:sz w:val="18"/>
          <w:szCs w:val="18"/>
          <w:lang w:eastAsia="ru-RU"/>
        </w:rPr>
        <w:t>GMP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не требуется.</w:t>
      </w:r>
    </w:p>
    <w:p w:rsidR="00927F8E" w:rsidRPr="00927F8E" w:rsidRDefault="00927F8E" w:rsidP="00927F8E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** можно заменить Сертификатом </w:t>
      </w:r>
      <w:r w:rsidRPr="00927F8E">
        <w:rPr>
          <w:rFonts w:ascii="Calibri" w:eastAsia="Times New Roman" w:hAnsi="Calibri" w:cs="Arial"/>
          <w:sz w:val="18"/>
          <w:szCs w:val="18"/>
          <w:lang w:eastAsia="ru-RU"/>
        </w:rPr>
        <w:t>Free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</w:t>
      </w:r>
      <w:r w:rsidRPr="00927F8E">
        <w:rPr>
          <w:rFonts w:ascii="Calibri" w:eastAsia="Times New Roman" w:hAnsi="Calibri" w:cs="Arial"/>
          <w:sz w:val="18"/>
          <w:szCs w:val="18"/>
          <w:lang w:eastAsia="ru-RU"/>
        </w:rPr>
        <w:t>Sale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(при наличии сертификата </w:t>
      </w:r>
      <w:r w:rsidRPr="00927F8E">
        <w:rPr>
          <w:rFonts w:ascii="Calibri" w:eastAsia="Times New Roman" w:hAnsi="Calibri" w:cs="Arial"/>
          <w:sz w:val="18"/>
          <w:szCs w:val="18"/>
          <w:lang w:eastAsia="ru-RU"/>
        </w:rPr>
        <w:t>GMP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).</w:t>
      </w:r>
    </w:p>
    <w:p w:rsidR="00BE4851" w:rsidRPr="00927F8E" w:rsidRDefault="00927F8E" w:rsidP="00BE4851">
      <w:pPr>
        <w:rPr>
          <w:lang w:val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*** пожалуйста, обратитесь к нам за консультацией по данному вопросу. Вы можете написать по адресам </w:t>
      </w:r>
      <w:hyperlink r:id="rId9" w:history="1">
        <w:r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rs</w:t>
        </w:r>
        <w:r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val="ru-RU" w:eastAsia="ru-RU"/>
          </w:rPr>
          <w:t>@</w:t>
        </w:r>
        <w:r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regmed</w:t>
        </w:r>
        <w:r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val="ru-RU" w:eastAsia="ru-RU"/>
          </w:rPr>
          <w:t>.</w:t>
        </w:r>
        <w:r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biz</w:t>
        </w:r>
      </w:hyperlink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; </w:t>
      </w:r>
      <w:hyperlink r:id="rId10" w:history="1">
        <w:r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regmed</w:t>
        </w:r>
        <w:r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val="ru-RU" w:eastAsia="ru-RU"/>
          </w:rPr>
          <w:t>@</w:t>
        </w:r>
        <w:r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regmed</w:t>
        </w:r>
        <w:r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val="ru-RU" w:eastAsia="ru-RU"/>
          </w:rPr>
          <w:t>.</w:t>
        </w:r>
        <w:r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biz</w:t>
        </w:r>
      </w:hyperlink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; или позвонить по телефону, указанному на </w:t>
      </w:r>
      <w:proofErr w:type="gramStart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сайте</w:t>
      </w:r>
      <w:proofErr w:type="gramEnd"/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, либо +7(903)748-60-35</w:t>
      </w:r>
    </w:p>
    <w:p w:rsidR="00BE4851" w:rsidRPr="00927F8E" w:rsidRDefault="00BE4851" w:rsidP="00BE4851">
      <w:pPr>
        <w:rPr>
          <w:lang w:val="ru-RU"/>
        </w:rPr>
      </w:pPr>
    </w:p>
    <w:p w:rsidR="00423C61" w:rsidRPr="009B1E9C" w:rsidRDefault="009B1E9C" w:rsidP="009B1E9C">
      <w:pPr>
        <w:tabs>
          <w:tab w:val="left" w:pos="7035"/>
        </w:tabs>
        <w:jc w:val="center"/>
        <w:rPr>
          <w:rFonts w:asciiTheme="minorHAnsi" w:hAnsiTheme="minorHAnsi"/>
          <w:b/>
          <w:color w:val="17365D" w:themeColor="text2" w:themeShade="BF"/>
          <w:sz w:val="22"/>
          <w:u w:val="single"/>
          <w:lang w:val="ru-RU"/>
        </w:rPr>
      </w:pPr>
      <w:bookmarkStart w:id="0" w:name="_GoBack"/>
      <w:r w:rsidRPr="009B1E9C">
        <w:rPr>
          <w:rFonts w:asciiTheme="minorHAnsi" w:hAnsiTheme="minorHAnsi"/>
          <w:b/>
          <w:color w:val="17365D" w:themeColor="text2" w:themeShade="BF"/>
          <w:sz w:val="22"/>
          <w:u w:val="single"/>
          <w:lang w:val="ru-RU"/>
        </w:rPr>
        <w:lastRenderedPageBreak/>
        <w:t xml:space="preserve">Обратите внимание: наилучший вариант предоставления досье зарубежными производителями </w:t>
      </w:r>
      <w:proofErr w:type="gramStart"/>
      <w:r w:rsidRPr="009B1E9C">
        <w:rPr>
          <w:rFonts w:asciiTheme="minorHAnsi" w:hAnsiTheme="minorHAnsi"/>
          <w:b/>
          <w:color w:val="17365D" w:themeColor="text2" w:themeShade="BF"/>
          <w:sz w:val="22"/>
          <w:u w:val="single"/>
          <w:lang w:val="ru-RU"/>
        </w:rPr>
        <w:t>–ф</w:t>
      </w:r>
      <w:proofErr w:type="gramEnd"/>
      <w:r w:rsidRPr="009B1E9C">
        <w:rPr>
          <w:rFonts w:asciiTheme="minorHAnsi" w:hAnsiTheme="minorHAnsi"/>
          <w:b/>
          <w:color w:val="17365D" w:themeColor="text2" w:themeShade="BF"/>
          <w:sz w:val="22"/>
          <w:u w:val="single"/>
          <w:lang w:val="ru-RU"/>
        </w:rPr>
        <w:t xml:space="preserve">ормат </w:t>
      </w:r>
      <w:r w:rsidRPr="009B1E9C">
        <w:rPr>
          <w:rFonts w:asciiTheme="minorHAnsi" w:hAnsiTheme="minorHAnsi"/>
          <w:b/>
          <w:color w:val="17365D" w:themeColor="text2" w:themeShade="BF"/>
          <w:sz w:val="22"/>
          <w:u w:val="single"/>
        </w:rPr>
        <w:t>CTD</w:t>
      </w:r>
      <w:r w:rsidRPr="009B1E9C">
        <w:rPr>
          <w:rFonts w:asciiTheme="minorHAnsi" w:hAnsiTheme="minorHAnsi"/>
          <w:b/>
          <w:color w:val="17365D" w:themeColor="text2" w:themeShade="BF"/>
          <w:sz w:val="22"/>
          <w:u w:val="single"/>
          <w:lang w:val="ru-RU"/>
        </w:rPr>
        <w:t>.</w:t>
      </w:r>
      <w:bookmarkEnd w:id="0"/>
    </w:p>
    <w:sectPr w:rsidR="00423C61" w:rsidRPr="009B1E9C" w:rsidSect="00423C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51" w:rsidRDefault="001E6E51">
      <w:r>
        <w:separator/>
      </w:r>
    </w:p>
  </w:endnote>
  <w:endnote w:type="continuationSeparator" w:id="0">
    <w:p w:rsidR="001E6E51" w:rsidRDefault="001E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1E6E51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AE9C21" wp14:editId="77A885B0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927F8E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</w:p>
                        <w:p w:rsidR="00BE4851" w:rsidRPr="00927F8E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927F8E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</w:p>
                  <w:p w:rsidR="00BE4851" w:rsidRPr="00927F8E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51" w:rsidRDefault="001E6E51">
      <w:r>
        <w:separator/>
      </w:r>
    </w:p>
  </w:footnote>
  <w:footnote w:type="continuationSeparator" w:id="0">
    <w:p w:rsidR="001E6E51" w:rsidRDefault="001E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052037" cy="53267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E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6E51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27F8E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1E9C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gmed@regmed.b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@regmed.bi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Documents\&#1064;&#1040;&#1041;&#1051;&#1054;&#1053;&#1067;\160114_&#1053;&#1086;&#1074;&#1077;&#1081;&#1096;&#1080;&#1077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9AD5-ABC5-41AB-8311-C44BBFDD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2016-01-14T19:25:00Z</cp:lastPrinted>
  <dcterms:created xsi:type="dcterms:W3CDTF">2016-01-14T23:26:00Z</dcterms:created>
  <dcterms:modified xsi:type="dcterms:W3CDTF">2016-01-14T23:42:00Z</dcterms:modified>
</cp:coreProperties>
</file>